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inline distT="0" distB="0" distL="0" distR="0">
            <wp:extent cx="1971675" cy="5715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:rsidR="00E55BA8" w:rsidRPr="00E55BA8" w:rsidRDefault="00E55BA8" w:rsidP="00E55BA8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0" w:name="_Toc155172557"/>
      <w:bookmarkStart w:id="1" w:name="_Toc155176049"/>
      <w:bookmarkStart w:id="2" w:name="_Toc155176994"/>
      <w:bookmarkStart w:id="3" w:name="_Toc155696761"/>
      <w:bookmarkStart w:id="4" w:name="_Toc155697926"/>
      <w:bookmarkStart w:id="5" w:name="_Toc155753392"/>
      <w:bookmarkStart w:id="6" w:name="_Toc155777577"/>
      <w:bookmarkStart w:id="7" w:name="_Toc155777839"/>
      <w:bookmarkStart w:id="8" w:name="_Toc216079320"/>
      <w:bookmarkStart w:id="9" w:name="_Toc231291815"/>
      <w:r w:rsidRPr="00E55BA8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ETABLISSEMENT PUBLIC DU MUSEE DU LOUVRE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Direction Financière, Juridique et des Moyens</w:t>
      </w:r>
    </w:p>
    <w:p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Sous-direction juridique et de l’achat public</w:t>
      </w:r>
    </w:p>
    <w:p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Service de la commande publique</w:t>
      </w:r>
    </w:p>
    <w:p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75058 Paris Cedex 01</w:t>
      </w:r>
    </w:p>
    <w:p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</w:p>
    <w:p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00" w:after="10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b/>
          <w:sz w:val="20"/>
          <w:szCs w:val="20"/>
          <w:lang w:eastAsia="fr-FR"/>
        </w:rPr>
        <w:t>MARCHE PUBLIC DE SERVICES</w:t>
      </w:r>
    </w:p>
    <w:p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</w:p>
    <w:p w:rsid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caps/>
          <w:sz w:val="20"/>
          <w:szCs w:val="20"/>
          <w:lang w:eastAsia="fr-FR"/>
        </w:rPr>
        <w:t xml:space="preserve">ANNEXE N°1 </w:t>
      </w:r>
    </w:p>
    <w:p w:rsid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caps/>
          <w:sz w:val="20"/>
          <w:szCs w:val="20"/>
          <w:lang w:eastAsia="fr-FR"/>
        </w:rPr>
        <w:t>AU</w:t>
      </w:r>
    </w:p>
    <w:p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b/>
          <w:caps/>
          <w:sz w:val="20"/>
          <w:szCs w:val="20"/>
          <w:lang w:eastAsia="fr-FR"/>
        </w:rPr>
        <w:t>REGLEMENT DE CONSULTATION</w:t>
      </w:r>
    </w:p>
    <w:p w:rsidR="00E55BA8" w:rsidRPr="00E55BA8" w:rsidRDefault="00E55BA8" w:rsidP="00E8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</w:p>
    <w:p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</w:p>
    <w:p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:rsidR="00E55BA8" w:rsidRPr="00E55BA8" w:rsidRDefault="00E55BA8" w:rsidP="00E55BA8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1C2B2E" w:rsidRDefault="001C2B2E" w:rsidP="001C2B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</w:pPr>
    </w:p>
    <w:p w:rsidR="006A410B" w:rsidRPr="006A410B" w:rsidRDefault="006A410B" w:rsidP="006A410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</w:pPr>
      <w:r w:rsidRPr="006A410B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>PRESTATION</w:t>
      </w:r>
      <w:r w:rsidR="00FB6419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>S</w:t>
      </w:r>
      <w:r w:rsidRPr="006A410B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 xml:space="preserve"> DE </w:t>
      </w:r>
      <w:r w:rsidR="00D03588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>SEVICES RELATIF A L’EXPLOITATION ET LA MAINTENANCE DES INSTALLATIONS ELECTRIQUES ET ECLAIRAGE</w:t>
      </w:r>
      <w:r w:rsidR="00FB6419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 xml:space="preserve"> </w:t>
      </w:r>
      <w:r w:rsidR="00E8083D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 xml:space="preserve">pour </w:t>
      </w:r>
      <w:r w:rsidR="002C0CFE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>l’</w:t>
      </w:r>
      <w:r w:rsidRPr="006A410B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 xml:space="preserve">ETABLISSEMENT PUBLIC DU MUSEE DU LOUVRE                                </w:t>
      </w:r>
    </w:p>
    <w:p w:rsidR="00E55BA8" w:rsidRPr="00E55BA8" w:rsidRDefault="00E55BA8" w:rsidP="00E55BA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</w:pPr>
    </w:p>
    <w:p w:rsidR="00E55BA8" w:rsidRDefault="00E55BA8"/>
    <w:p w:rsidR="00DF6EE1" w:rsidRDefault="00D03588" w:rsidP="00E55BA8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CADRE</w:t>
      </w:r>
      <w:r w:rsidR="00E55BA8" w:rsidRPr="00E55BA8">
        <w:rPr>
          <w:rFonts w:ascii="Arial" w:hAnsi="Arial" w:cs="Arial"/>
          <w:b/>
          <w:sz w:val="40"/>
          <w:szCs w:val="40"/>
        </w:rPr>
        <w:t xml:space="preserve"> D’ANALYSE DE LA VALEUR TECHNIQUE (MEMOIRE TECHNIQUE)</w:t>
      </w:r>
      <w:r w:rsidR="00B45382">
        <w:rPr>
          <w:rFonts w:ascii="Arial" w:hAnsi="Arial" w:cs="Arial"/>
          <w:b/>
          <w:sz w:val="40"/>
          <w:szCs w:val="40"/>
        </w:rPr>
        <w:t xml:space="preserve"> </w:t>
      </w:r>
    </w:p>
    <w:p w:rsidR="001C2B2E" w:rsidRDefault="001C2B2E" w:rsidP="00E55BA8">
      <w:pPr>
        <w:jc w:val="center"/>
        <w:rPr>
          <w:rFonts w:ascii="Arial" w:hAnsi="Arial" w:cs="Arial"/>
          <w:b/>
          <w:sz w:val="28"/>
          <w:szCs w:val="28"/>
        </w:rPr>
      </w:pPr>
    </w:p>
    <w:p w:rsidR="001C2B2E" w:rsidRDefault="00DF6EE1" w:rsidP="00E55BA8">
      <w:pPr>
        <w:jc w:val="center"/>
        <w:rPr>
          <w:rFonts w:ascii="Arial" w:hAnsi="Arial" w:cs="Arial"/>
          <w:b/>
          <w:sz w:val="28"/>
          <w:szCs w:val="28"/>
        </w:rPr>
      </w:pPr>
      <w:r w:rsidRPr="00DF6EE1">
        <w:rPr>
          <w:rFonts w:ascii="Arial" w:hAnsi="Arial" w:cs="Arial"/>
          <w:b/>
          <w:sz w:val="28"/>
          <w:szCs w:val="28"/>
        </w:rPr>
        <w:t>La réponse du candidat devra être conforme aux dispositions du DCE (notamment du CCTP).</w:t>
      </w:r>
    </w:p>
    <w:p w:rsidR="001C2B2E" w:rsidRPr="001C2B2E" w:rsidRDefault="001C2B2E" w:rsidP="00E55BA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55BA8" w:rsidRPr="00DF6EE1" w:rsidRDefault="001C2B2E" w:rsidP="00E55BA8">
      <w:pPr>
        <w:jc w:val="center"/>
        <w:rPr>
          <w:rFonts w:ascii="Arial" w:hAnsi="Arial" w:cs="Arial"/>
          <w:b/>
          <w:sz w:val="28"/>
          <w:szCs w:val="28"/>
        </w:rPr>
      </w:pPr>
      <w:r w:rsidRPr="001C2B2E">
        <w:rPr>
          <w:rFonts w:ascii="Arial" w:hAnsi="Arial" w:cs="Arial"/>
          <w:b/>
          <w:color w:val="FF0000"/>
          <w:sz w:val="28"/>
          <w:szCs w:val="28"/>
        </w:rPr>
        <w:t>NOM DU CANDIDAT : …………..</w:t>
      </w:r>
      <w:r w:rsidR="00E55BA8" w:rsidRPr="00DF6EE1">
        <w:rPr>
          <w:rFonts w:ascii="Arial" w:hAnsi="Arial" w:cs="Arial"/>
          <w:b/>
          <w:sz w:val="28"/>
          <w:szCs w:val="28"/>
        </w:rPr>
        <w:br w:type="page"/>
      </w: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1"/>
        <w:gridCol w:w="5497"/>
        <w:gridCol w:w="1733"/>
      </w:tblGrid>
      <w:tr w:rsidR="006A410B" w:rsidRPr="006A410B" w:rsidTr="00E8083D">
        <w:trPr>
          <w:trHeight w:val="85"/>
          <w:jc w:val="center"/>
        </w:trPr>
        <w:tc>
          <w:tcPr>
            <w:tcW w:w="3041" w:type="dxa"/>
            <w:vAlign w:val="center"/>
          </w:tcPr>
          <w:p w:rsidR="006A410B" w:rsidRPr="006A410B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A410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lastRenderedPageBreak/>
              <w:t>Chapitre</w:t>
            </w:r>
          </w:p>
        </w:tc>
        <w:tc>
          <w:tcPr>
            <w:tcW w:w="5497" w:type="dxa"/>
            <w:vAlign w:val="center"/>
          </w:tcPr>
          <w:p w:rsidR="006A410B" w:rsidRPr="006A410B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A410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Contenu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/ </w:t>
            </w:r>
            <w:r w:rsidRPr="006A410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Informations attendues</w:t>
            </w:r>
          </w:p>
        </w:tc>
        <w:tc>
          <w:tcPr>
            <w:tcW w:w="1733" w:type="dxa"/>
          </w:tcPr>
          <w:p w:rsidR="006A410B" w:rsidRPr="006A410B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E55B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Repère du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document, du </w:t>
            </w:r>
            <w:r w:rsidRPr="00E55B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chapitre ou de la p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age dans le mémoire technique (</w:t>
            </w:r>
            <w:r w:rsidRPr="00E55B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à compléter)</w:t>
            </w:r>
          </w:p>
        </w:tc>
      </w:tr>
      <w:tr w:rsidR="006A410B" w:rsidRPr="006A410B" w:rsidTr="00E8083D">
        <w:trPr>
          <w:trHeight w:val="85"/>
          <w:jc w:val="center"/>
        </w:trPr>
        <w:tc>
          <w:tcPr>
            <w:tcW w:w="3041" w:type="dxa"/>
            <w:vMerge w:val="restart"/>
            <w:vAlign w:val="center"/>
          </w:tcPr>
          <w:p w:rsidR="006A410B" w:rsidRPr="005E04CF" w:rsidRDefault="006A410B" w:rsidP="00DB0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04CF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>1</w:t>
            </w:r>
            <w:r w:rsidRPr="005E04C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="00A468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Gestion globale et pilotage</w:t>
            </w:r>
          </w:p>
          <w:p w:rsidR="00753242" w:rsidRPr="005E04CF" w:rsidRDefault="007532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753242" w:rsidRPr="005E04CF" w:rsidRDefault="007532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753242" w:rsidRPr="005E04CF" w:rsidRDefault="007F7D9A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/20</w:t>
            </w:r>
          </w:p>
        </w:tc>
        <w:tc>
          <w:tcPr>
            <w:tcW w:w="5497" w:type="dxa"/>
            <w:vAlign w:val="center"/>
          </w:tcPr>
          <w:p w:rsidR="006A410B" w:rsidRPr="006A410B" w:rsidRDefault="00A46893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Justifier la pertinence des moyens mise en œuvre par le représentant du Titulaire et l’encadrement opérationnel dans leurs missions et organisation. </w:t>
            </w:r>
          </w:p>
        </w:tc>
        <w:tc>
          <w:tcPr>
            <w:tcW w:w="1733" w:type="dxa"/>
          </w:tcPr>
          <w:p w:rsidR="006A410B" w:rsidRPr="006A410B" w:rsidRDefault="006A410B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903D3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8903D3" w:rsidRPr="005E04CF" w:rsidRDefault="008903D3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8903D3" w:rsidRPr="006A410B" w:rsidRDefault="00311A4D" w:rsidP="005235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11A4D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Méthodologie et outils de gestion et de pilotage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la p</w:t>
            </w:r>
            <w:r w:rsidRPr="00311A4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ertinence des moyens proposés pour assurer le suivi des interventions (GMAO), qualité des outils de </w:t>
            </w:r>
            <w:proofErr w:type="spellStart"/>
            <w:r w:rsidRPr="00311A4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reporting</w:t>
            </w:r>
            <w:proofErr w:type="spellEnd"/>
            <w:r w:rsidRPr="00311A4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et transparence des informations fournies</w:t>
            </w:r>
          </w:p>
        </w:tc>
        <w:tc>
          <w:tcPr>
            <w:tcW w:w="1733" w:type="dxa"/>
          </w:tcPr>
          <w:p w:rsidR="008903D3" w:rsidRPr="006A410B" w:rsidRDefault="008903D3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6A410B" w:rsidTr="00E8083D">
        <w:trPr>
          <w:trHeight w:val="178"/>
          <w:jc w:val="center"/>
        </w:trPr>
        <w:tc>
          <w:tcPr>
            <w:tcW w:w="3041" w:type="dxa"/>
            <w:vMerge/>
            <w:vAlign w:val="center"/>
          </w:tcPr>
          <w:p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6A410B" w:rsidRPr="006A410B" w:rsidRDefault="00311A4D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11A4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Capacité à respecter les délais et garantir la disponibilité de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 moyens humains et matériels. </w:t>
            </w:r>
            <w:r w:rsidRPr="00311A4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Planification des ressources, gestion des stocks et astreintes.</w:t>
            </w:r>
          </w:p>
        </w:tc>
        <w:tc>
          <w:tcPr>
            <w:tcW w:w="1733" w:type="dxa"/>
          </w:tcPr>
          <w:p w:rsidR="006A410B" w:rsidRPr="006A410B" w:rsidRDefault="006A410B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:rsidR="006A410B" w:rsidRPr="006A410B" w:rsidRDefault="00311A4D" w:rsidP="0017390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11A4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Méthodologie proposée pou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r assurer le devoir de conseil. </w:t>
            </w:r>
            <w:r w:rsidRPr="00311A4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Processus structuré de veille technique et réglementaire, gestion documentaire, sui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vi des contrôles r</w:t>
            </w:r>
            <w:r w:rsidR="00BA69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églementaires, études, analyse des risque…</w:t>
            </w:r>
          </w:p>
        </w:tc>
        <w:tc>
          <w:tcPr>
            <w:tcW w:w="1733" w:type="dxa"/>
            <w:shd w:val="clear" w:color="auto" w:fill="auto"/>
          </w:tcPr>
          <w:p w:rsidR="006A410B" w:rsidRPr="006A410B" w:rsidRDefault="006A410B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:rsidR="006A410B" w:rsidRPr="00CC790D" w:rsidRDefault="00BA6904" w:rsidP="008A4D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A69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Capacité à proposer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des</w:t>
            </w:r>
            <w:r w:rsidR="008A38F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outils, </w:t>
            </w:r>
            <w:proofErr w:type="spellStart"/>
            <w:r w:rsidR="008A38F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process</w:t>
            </w:r>
            <w:proofErr w:type="spellEnd"/>
            <w:r w:rsidR="008A38F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pour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8A38F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l’amélioration technique,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8A38F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la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</w:t>
            </w:r>
            <w:r w:rsidRPr="00BA69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ualité et pertinence des propositions a</w:t>
            </w:r>
            <w:r w:rsidR="008A38F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nnuelles de travaux et cheminement des travaux</w:t>
            </w:r>
          </w:p>
        </w:tc>
        <w:tc>
          <w:tcPr>
            <w:tcW w:w="1733" w:type="dxa"/>
            <w:shd w:val="clear" w:color="auto" w:fill="auto"/>
          </w:tcPr>
          <w:p w:rsidR="006A410B" w:rsidRPr="00CC790D" w:rsidRDefault="006A410B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:rsidR="006A410B" w:rsidRPr="00CC790D" w:rsidRDefault="005E7B75" w:rsidP="005E7B7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E7B7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Organigramme complet et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détaillé du personnel minimum</w:t>
            </w:r>
            <w:r w:rsidRPr="005E7B7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présent sur le site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en jour ouvré</w:t>
            </w:r>
            <w:r w:rsidRPr="005E7B7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40453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 week-end</w:t>
            </w:r>
          </w:p>
        </w:tc>
        <w:tc>
          <w:tcPr>
            <w:tcW w:w="1733" w:type="dxa"/>
            <w:shd w:val="clear" w:color="auto" w:fill="auto"/>
          </w:tcPr>
          <w:p w:rsidR="006A410B" w:rsidRPr="00CC790D" w:rsidRDefault="006A410B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:rsidR="006A410B" w:rsidRPr="00CC790D" w:rsidRDefault="005E7B75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E7B7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Manière dont les effectifs et les volumes horaires par profil de poste sont proportionnés pour répondre aux respects des obligations de résultats inscrites dans le CCTP</w:t>
            </w:r>
          </w:p>
        </w:tc>
        <w:tc>
          <w:tcPr>
            <w:tcW w:w="1733" w:type="dxa"/>
            <w:shd w:val="clear" w:color="auto" w:fill="auto"/>
          </w:tcPr>
          <w:p w:rsidR="006A410B" w:rsidRPr="00CC790D" w:rsidRDefault="006A410B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10FD" w:rsidRPr="00CC790D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AC10FD" w:rsidRPr="005E04CF" w:rsidRDefault="00AC10FD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:rsidR="00AC10FD" w:rsidRPr="00CC790D" w:rsidRDefault="005E7B75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E7B7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CV détaillé du personnel affecté à l’exécution des prestations et attestations de formation de base et professionnelle.</w:t>
            </w:r>
          </w:p>
        </w:tc>
        <w:tc>
          <w:tcPr>
            <w:tcW w:w="1733" w:type="dxa"/>
            <w:shd w:val="clear" w:color="auto" w:fill="auto"/>
          </w:tcPr>
          <w:p w:rsidR="00AC10FD" w:rsidRPr="00CC790D" w:rsidRDefault="00AC10FD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:rsidTr="000A31A0">
        <w:trPr>
          <w:trHeight w:val="999"/>
          <w:jc w:val="center"/>
        </w:trPr>
        <w:tc>
          <w:tcPr>
            <w:tcW w:w="3041" w:type="dxa"/>
            <w:vMerge/>
            <w:vAlign w:val="center"/>
          </w:tcPr>
          <w:p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:rsidR="006A410B" w:rsidRPr="00CC790D" w:rsidRDefault="0040453D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0453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Préciser pour les profils, l’organisation mis en place en terme de présence sur site et de travail à distance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, mais aussi l’organisation pour les permanences et astreintes, PPCI etc..</w:t>
            </w:r>
          </w:p>
        </w:tc>
        <w:tc>
          <w:tcPr>
            <w:tcW w:w="1733" w:type="dxa"/>
            <w:shd w:val="clear" w:color="auto" w:fill="auto"/>
          </w:tcPr>
          <w:p w:rsidR="006A410B" w:rsidRPr="00CC790D" w:rsidRDefault="006A410B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94080E" w:rsidRPr="00CC790D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94080E" w:rsidRPr="005E04CF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:rsidR="0094080E" w:rsidRPr="00ED0C65" w:rsidRDefault="0094080E" w:rsidP="009408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moyens matériels minimum à mettre en place pour respecter ses obligations de résultat.</w:t>
            </w:r>
          </w:p>
        </w:tc>
        <w:tc>
          <w:tcPr>
            <w:tcW w:w="1733" w:type="dxa"/>
            <w:shd w:val="clear" w:color="auto" w:fill="auto"/>
          </w:tcPr>
          <w:p w:rsidR="0094080E" w:rsidRPr="00CC790D" w:rsidRDefault="0094080E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 w:val="restart"/>
            <w:vAlign w:val="center"/>
          </w:tcPr>
          <w:p w:rsidR="0094080E" w:rsidRPr="005E04CF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04CF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>2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 xml:space="preserve"> </w:t>
            </w:r>
            <w:r w:rsidR="00D41790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>–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 xml:space="preserve"> </w:t>
            </w:r>
            <w:r w:rsidR="00D41790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Prestations Forfaitaires</w:t>
            </w:r>
          </w:p>
          <w:p w:rsidR="0094080E" w:rsidRPr="005E04CF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94080E" w:rsidRPr="005E04CF" w:rsidRDefault="0094080E" w:rsidP="007F7D9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</w:t>
            </w:r>
            <w:r w:rsidR="007F7D9A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5497" w:type="dxa"/>
            <w:vAlign w:val="center"/>
          </w:tcPr>
          <w:p w:rsidR="0094080E" w:rsidRPr="006A410B" w:rsidRDefault="00D41790" w:rsidP="0094080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4179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Conformité et précision des gammes et programmes de maintena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nce préventive et corrective, </w:t>
            </w:r>
            <w:r w:rsidRPr="00D4179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clarté et pertinence des gammes proposées</w:t>
            </w:r>
            <w:r w:rsidR="005D145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pour les équipements C1 et C2</w:t>
            </w:r>
          </w:p>
        </w:tc>
        <w:tc>
          <w:tcPr>
            <w:tcW w:w="1733" w:type="dxa"/>
          </w:tcPr>
          <w:p w:rsidR="0094080E" w:rsidRPr="00D41790" w:rsidRDefault="0094080E" w:rsidP="00C85658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94080E" w:rsidRPr="005E04CF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94080E" w:rsidRPr="006A410B" w:rsidRDefault="00D41790" w:rsidP="00C8565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4179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stratégie de maintenance des installations d’éclairage (</w:t>
            </w:r>
            <w:r w:rsidR="00C8565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expérience des personnels mobilisés, formation spécifiques, organisation, planification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etc….)</w:t>
            </w:r>
          </w:p>
        </w:tc>
        <w:tc>
          <w:tcPr>
            <w:tcW w:w="1733" w:type="dxa"/>
          </w:tcPr>
          <w:p w:rsidR="0094080E" w:rsidRPr="006A410B" w:rsidRDefault="0094080E" w:rsidP="00C856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94080E" w:rsidRPr="005E04CF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94080E" w:rsidRDefault="00D41790" w:rsidP="0094080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Procédure et modalité de la traçabilité mise en œuvre de la maintenance des éclairages</w:t>
            </w:r>
            <w:r w:rsidR="0094080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:rsidR="0094080E" w:rsidRPr="006A410B" w:rsidRDefault="0094080E" w:rsidP="00C856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94080E" w:rsidRPr="005E04CF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94080E" w:rsidRPr="006A410B" w:rsidRDefault="008E04FE" w:rsidP="0094080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E04F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Qualité et conformité des équi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pements et matériels proposés. </w:t>
            </w:r>
            <w:r w:rsidRPr="008E04F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Pertinence et robustesse des solutions techniques choisies (sources lumineuses,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garanti des luminaires installés</w:t>
            </w:r>
            <w:r w:rsidRPr="008E04F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composants, matériel électrique…).</w:t>
            </w:r>
          </w:p>
        </w:tc>
        <w:tc>
          <w:tcPr>
            <w:tcW w:w="1733" w:type="dxa"/>
          </w:tcPr>
          <w:p w:rsidR="0094080E" w:rsidRPr="006A410B" w:rsidRDefault="0094080E" w:rsidP="008E0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94080E" w:rsidRPr="005E04CF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94080E" w:rsidRDefault="008E04FE" w:rsidP="0094080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</w:t>
            </w:r>
            <w:r w:rsidRPr="008E04F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 programm</w:t>
            </w:r>
            <w:r w:rsidR="00BB23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 complet de maintenance pour les onduleurs Présentation</w:t>
            </w:r>
            <w:r w:rsidR="00BB233C" w:rsidRPr="00BB23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BB23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d’</w:t>
            </w:r>
            <w:r w:rsidR="00BB233C" w:rsidRPr="00BB23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un programme de maintenance de base + astreinte et fournitures des pièces pour la maintenance corrective</w:t>
            </w:r>
            <w:r w:rsidR="00BB23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:rsidR="0094080E" w:rsidRPr="006A410B" w:rsidRDefault="0094080E" w:rsidP="00BB2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94080E" w:rsidRPr="005E04CF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94080E" w:rsidRPr="006A410B" w:rsidRDefault="005D145F" w:rsidP="0094080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45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Un programme complet d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 maintenance pour les automates programmables de sécurité électrique. P</w:t>
            </w:r>
            <w:r w:rsidRPr="005D145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résentation d’un programme de maintenance de base + astreinte et fournitures des pièces pour la maintenance corrective</w:t>
            </w:r>
          </w:p>
        </w:tc>
        <w:tc>
          <w:tcPr>
            <w:tcW w:w="1733" w:type="dxa"/>
          </w:tcPr>
          <w:p w:rsidR="0094080E" w:rsidRPr="006A410B" w:rsidRDefault="0094080E" w:rsidP="005D1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5D145F" w:rsidRPr="006A410B" w:rsidTr="003709D1">
        <w:trPr>
          <w:trHeight w:val="470"/>
          <w:jc w:val="center"/>
        </w:trPr>
        <w:tc>
          <w:tcPr>
            <w:tcW w:w="3041" w:type="dxa"/>
            <w:vMerge/>
            <w:vAlign w:val="center"/>
          </w:tcPr>
          <w:p w:rsidR="005D145F" w:rsidRPr="005E04CF" w:rsidRDefault="005D145F" w:rsidP="0094080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230" w:type="dxa"/>
            <w:gridSpan w:val="2"/>
            <w:vAlign w:val="center"/>
          </w:tcPr>
          <w:p w:rsidR="005D145F" w:rsidRPr="006A410B" w:rsidRDefault="005D145F" w:rsidP="009408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 w:val="restart"/>
            <w:vAlign w:val="center"/>
          </w:tcPr>
          <w:p w:rsidR="0094080E" w:rsidRPr="005E04CF" w:rsidRDefault="0094080E" w:rsidP="0094080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04CF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lastRenderedPageBreak/>
              <w:t>3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 xml:space="preserve"> </w:t>
            </w:r>
            <w:r w:rsidR="000072F8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>–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 xml:space="preserve"> </w:t>
            </w:r>
            <w:r w:rsidR="000072F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Performance énergétique</w:t>
            </w:r>
            <w:r w:rsidR="0005095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et environnemental</w:t>
            </w:r>
          </w:p>
          <w:p w:rsidR="0094080E" w:rsidRPr="005E04CF" w:rsidRDefault="0094080E" w:rsidP="0094080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94080E" w:rsidRPr="005E04CF" w:rsidRDefault="007F7D9A" w:rsidP="0094080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/10</w:t>
            </w:r>
          </w:p>
        </w:tc>
        <w:tc>
          <w:tcPr>
            <w:tcW w:w="5497" w:type="dxa"/>
            <w:vAlign w:val="center"/>
          </w:tcPr>
          <w:p w:rsidR="0094080E" w:rsidRPr="006A410B" w:rsidRDefault="000072F8" w:rsidP="0094080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072F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Pertinence des solutions techniques d’optim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isation énergétique proposées. Méthodologie</w:t>
            </w:r>
            <w:r w:rsidRPr="000072F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d'analyse et suivi énergétique, qualité des propositions d’améliorations énergétiques (réduction de consommation, gestion automatisée des installations électriques et éclairages).</w:t>
            </w:r>
          </w:p>
        </w:tc>
        <w:tc>
          <w:tcPr>
            <w:tcW w:w="1733" w:type="dxa"/>
          </w:tcPr>
          <w:p w:rsidR="0094080E" w:rsidRPr="006A410B" w:rsidRDefault="0094080E" w:rsidP="004F1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  <w:bookmarkStart w:id="10" w:name="_GoBack"/>
            <w:bookmarkEnd w:id="10"/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94080E" w:rsidRPr="006A410B" w:rsidRDefault="0094080E" w:rsidP="0094080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94080E" w:rsidRPr="006A410B" w:rsidRDefault="000072F8" w:rsidP="0094080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</w:t>
            </w:r>
            <w:r w:rsidRPr="000072F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ust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ifie</w:t>
            </w:r>
            <w:r w:rsidRPr="000072F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que le Référent énergie bénéficie de la formation et l’expérience nécessaire à assurer ces missions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:rsidR="0094080E" w:rsidRPr="006A410B" w:rsidRDefault="0094080E" w:rsidP="004F1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94080E" w:rsidRPr="006A410B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94080E" w:rsidRPr="006A410B" w:rsidRDefault="004F1A0A" w:rsidP="0094080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F1A0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 mise en place de la démarch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 est proposée par le Titulaire </w:t>
            </w:r>
            <w:r w:rsidRPr="004F1A0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dans son offre et pour chaque phase contractuelle (définition des procédures, méthodes, méthodologie de comptage, fréquences de relève et objectifs etc.…)</w:t>
            </w:r>
          </w:p>
        </w:tc>
        <w:tc>
          <w:tcPr>
            <w:tcW w:w="1733" w:type="dxa"/>
          </w:tcPr>
          <w:p w:rsidR="0094080E" w:rsidRPr="006A410B" w:rsidRDefault="0094080E" w:rsidP="000509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94080E" w:rsidRPr="006A410B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94080E" w:rsidRPr="006A410B" w:rsidRDefault="00050955" w:rsidP="009408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Proposition d’</w:t>
            </w:r>
            <w:r w:rsidRPr="000509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une garantie de traitement des installations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(collecte des anciens matériels, proposition d’équipement circulaire issu du réemploi etc..)</w:t>
            </w:r>
          </w:p>
        </w:tc>
        <w:tc>
          <w:tcPr>
            <w:tcW w:w="1733" w:type="dxa"/>
          </w:tcPr>
          <w:p w:rsidR="0094080E" w:rsidRPr="006A410B" w:rsidRDefault="0094080E" w:rsidP="00AA01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94080E" w:rsidRPr="006A410B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:rsidR="0094080E" w:rsidRPr="006A410B" w:rsidRDefault="0094080E" w:rsidP="0094080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:rsidR="0094080E" w:rsidRPr="006A410B" w:rsidRDefault="00AA019E" w:rsidP="009408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Organisation générale de la gestion des déchets</w:t>
            </w:r>
          </w:p>
        </w:tc>
        <w:tc>
          <w:tcPr>
            <w:tcW w:w="1733" w:type="dxa"/>
          </w:tcPr>
          <w:p w:rsidR="0094080E" w:rsidRPr="00AA019E" w:rsidRDefault="0094080E" w:rsidP="00AA01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6A410B" w:rsidRPr="00616B00" w:rsidRDefault="006A410B">
      <w:pPr>
        <w:rPr>
          <w:rFonts w:ascii="Arial" w:hAnsi="Arial" w:cs="Arial"/>
          <w:sz w:val="20"/>
          <w:szCs w:val="20"/>
        </w:rPr>
      </w:pPr>
    </w:p>
    <w:sectPr w:rsidR="006A410B" w:rsidRPr="00616B0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B75" w:rsidRDefault="00A37B75" w:rsidP="00E55BA8">
      <w:pPr>
        <w:spacing w:after="0" w:line="240" w:lineRule="auto"/>
      </w:pPr>
      <w:r>
        <w:separator/>
      </w:r>
    </w:p>
  </w:endnote>
  <w:endnote w:type="continuationSeparator" w:id="0">
    <w:p w:rsidR="00A37B75" w:rsidRDefault="00A37B75" w:rsidP="00E55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BA8" w:rsidRPr="00E55BA8" w:rsidRDefault="00E55BA8" w:rsidP="00E55BA8">
    <w:pPr>
      <w:tabs>
        <w:tab w:val="center" w:pos="4536"/>
        <w:tab w:val="right" w:pos="9072"/>
        <w:tab w:val="right" w:pos="9639"/>
      </w:tabs>
      <w:spacing w:after="0" w:line="240" w:lineRule="auto"/>
      <w:rPr>
        <w:rFonts w:ascii="Arial" w:eastAsia="Times New Roman" w:hAnsi="Arial" w:cs="Arial"/>
        <w:sz w:val="16"/>
        <w:szCs w:val="16"/>
        <w:lang w:eastAsia="fr-FR"/>
      </w:rPr>
    </w:pPr>
    <w:r>
      <w:rPr>
        <w:rFonts w:ascii="Arial" w:eastAsia="Times New Roman" w:hAnsi="Arial" w:cs="Arial"/>
        <w:b/>
        <w:iCs/>
        <w:sz w:val="16"/>
        <w:szCs w:val="16"/>
        <w:lang w:eastAsia="fr-FR"/>
      </w:rPr>
      <w:t>ANNEXE -</w:t>
    </w:r>
    <w:r w:rsidRPr="00E55BA8">
      <w:rPr>
        <w:rFonts w:ascii="Arial" w:eastAsia="Times New Roman" w:hAnsi="Arial" w:cs="Arial"/>
        <w:sz w:val="16"/>
        <w:szCs w:val="16"/>
        <w:lang w:eastAsia="fr-FR"/>
      </w:rPr>
      <w:tab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t xml:space="preserve">page 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begin"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instrText xml:space="preserve"> PAGE </w:instrTex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separate"/>
    </w:r>
    <w:r w:rsidR="000A31A0">
      <w:rPr>
        <w:rFonts w:ascii="Arial" w:eastAsia="Times New Roman" w:hAnsi="Arial" w:cs="Arial"/>
        <w:b/>
        <w:noProof/>
        <w:sz w:val="16"/>
        <w:szCs w:val="16"/>
        <w:lang w:eastAsia="fr-FR"/>
      </w:rPr>
      <w:t>3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end"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t>/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begin"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instrText xml:space="preserve"> NUMPAGES </w:instrTex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separate"/>
    </w:r>
    <w:r w:rsidR="000A31A0">
      <w:rPr>
        <w:rFonts w:ascii="Arial" w:eastAsia="Times New Roman" w:hAnsi="Arial" w:cs="Arial"/>
        <w:b/>
        <w:noProof/>
        <w:sz w:val="16"/>
        <w:szCs w:val="16"/>
        <w:lang w:eastAsia="fr-FR"/>
      </w:rPr>
      <w:t>3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B75" w:rsidRDefault="00A37B75" w:rsidP="00E55BA8">
      <w:pPr>
        <w:spacing w:after="0" w:line="240" w:lineRule="auto"/>
      </w:pPr>
      <w:r>
        <w:separator/>
      </w:r>
    </w:p>
  </w:footnote>
  <w:footnote w:type="continuationSeparator" w:id="0">
    <w:p w:rsidR="00A37B75" w:rsidRDefault="00A37B75" w:rsidP="00E55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000000"/>
      </w:rPr>
    </w:lvl>
  </w:abstractNum>
  <w:abstractNum w:abstractNumId="2" w15:restartNumberingAfterBreak="0">
    <w:nsid w:val="680B4B2F"/>
    <w:multiLevelType w:val="hybridMultilevel"/>
    <w:tmpl w:val="335827DC"/>
    <w:lvl w:ilvl="0" w:tplc="1504A07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B34D39"/>
    <w:multiLevelType w:val="hybridMultilevel"/>
    <w:tmpl w:val="A5AA14DA"/>
    <w:lvl w:ilvl="0" w:tplc="FF481FEA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8"/>
    <w:rsid w:val="000072F8"/>
    <w:rsid w:val="000326C9"/>
    <w:rsid w:val="00040A6B"/>
    <w:rsid w:val="00050955"/>
    <w:rsid w:val="000533D2"/>
    <w:rsid w:val="000737A3"/>
    <w:rsid w:val="000A31A0"/>
    <w:rsid w:val="000B7D48"/>
    <w:rsid w:val="000F66A5"/>
    <w:rsid w:val="00105D84"/>
    <w:rsid w:val="001364A5"/>
    <w:rsid w:val="001628B6"/>
    <w:rsid w:val="00173909"/>
    <w:rsid w:val="0018360F"/>
    <w:rsid w:val="001A019D"/>
    <w:rsid w:val="001A6362"/>
    <w:rsid w:val="001C0953"/>
    <w:rsid w:val="001C2B2E"/>
    <w:rsid w:val="001E647E"/>
    <w:rsid w:val="001F1F4E"/>
    <w:rsid w:val="002C0CFE"/>
    <w:rsid w:val="002E73F9"/>
    <w:rsid w:val="002F402C"/>
    <w:rsid w:val="00311A4D"/>
    <w:rsid w:val="0035056A"/>
    <w:rsid w:val="0036651B"/>
    <w:rsid w:val="00377A6E"/>
    <w:rsid w:val="003C6E13"/>
    <w:rsid w:val="0040453D"/>
    <w:rsid w:val="004C0978"/>
    <w:rsid w:val="004F1A0A"/>
    <w:rsid w:val="00512BA4"/>
    <w:rsid w:val="00523545"/>
    <w:rsid w:val="005343B1"/>
    <w:rsid w:val="00536A95"/>
    <w:rsid w:val="00574251"/>
    <w:rsid w:val="005D145F"/>
    <w:rsid w:val="005E04CF"/>
    <w:rsid w:val="005E498F"/>
    <w:rsid w:val="005E7B75"/>
    <w:rsid w:val="00616B00"/>
    <w:rsid w:val="00672EBE"/>
    <w:rsid w:val="006A410B"/>
    <w:rsid w:val="006C7E0B"/>
    <w:rsid w:val="006D0DC0"/>
    <w:rsid w:val="006F69B5"/>
    <w:rsid w:val="0074180F"/>
    <w:rsid w:val="00753242"/>
    <w:rsid w:val="00764C5D"/>
    <w:rsid w:val="007F7D9A"/>
    <w:rsid w:val="00807A53"/>
    <w:rsid w:val="00825BB8"/>
    <w:rsid w:val="008617B5"/>
    <w:rsid w:val="008903D3"/>
    <w:rsid w:val="008A38FB"/>
    <w:rsid w:val="008A4D47"/>
    <w:rsid w:val="008B35C0"/>
    <w:rsid w:val="008E04FE"/>
    <w:rsid w:val="0094080E"/>
    <w:rsid w:val="00950A9F"/>
    <w:rsid w:val="0095126B"/>
    <w:rsid w:val="009770E0"/>
    <w:rsid w:val="009D390B"/>
    <w:rsid w:val="00A23775"/>
    <w:rsid w:val="00A25965"/>
    <w:rsid w:val="00A37B75"/>
    <w:rsid w:val="00A46893"/>
    <w:rsid w:val="00A64588"/>
    <w:rsid w:val="00AA019E"/>
    <w:rsid w:val="00AA4A77"/>
    <w:rsid w:val="00AC10FD"/>
    <w:rsid w:val="00AC686A"/>
    <w:rsid w:val="00B12070"/>
    <w:rsid w:val="00B348ED"/>
    <w:rsid w:val="00B45382"/>
    <w:rsid w:val="00B65958"/>
    <w:rsid w:val="00BA6904"/>
    <w:rsid w:val="00BB233C"/>
    <w:rsid w:val="00C46576"/>
    <w:rsid w:val="00C82EF7"/>
    <w:rsid w:val="00C85658"/>
    <w:rsid w:val="00C94362"/>
    <w:rsid w:val="00CB39E8"/>
    <w:rsid w:val="00CB5729"/>
    <w:rsid w:val="00CB64D1"/>
    <w:rsid w:val="00CB72CE"/>
    <w:rsid w:val="00CC790D"/>
    <w:rsid w:val="00CD2C8D"/>
    <w:rsid w:val="00CE00CC"/>
    <w:rsid w:val="00D03588"/>
    <w:rsid w:val="00D41790"/>
    <w:rsid w:val="00DA56E7"/>
    <w:rsid w:val="00DB0930"/>
    <w:rsid w:val="00DF6EE1"/>
    <w:rsid w:val="00E55BA8"/>
    <w:rsid w:val="00E8083D"/>
    <w:rsid w:val="00ED0C65"/>
    <w:rsid w:val="00ED582E"/>
    <w:rsid w:val="00EF2D1A"/>
    <w:rsid w:val="00F40027"/>
    <w:rsid w:val="00FB6419"/>
    <w:rsid w:val="00FC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CC4BF6-E0EB-4672-BD09-CD5ECB14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5BA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55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5BA8"/>
  </w:style>
  <w:style w:type="paragraph" w:styleId="Pieddepage">
    <w:name w:val="footer"/>
    <w:basedOn w:val="Normal"/>
    <w:link w:val="PieddepageCar"/>
    <w:uiPriority w:val="99"/>
    <w:unhideWhenUsed/>
    <w:rsid w:val="00E55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5BA8"/>
  </w:style>
  <w:style w:type="table" w:styleId="Grilledutableau">
    <w:name w:val="Table Grid"/>
    <w:basedOn w:val="TableauNormal"/>
    <w:uiPriority w:val="59"/>
    <w:rsid w:val="00E55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1364A5"/>
    <w:rPr>
      <w:sz w:val="16"/>
      <w:szCs w:val="16"/>
    </w:rPr>
  </w:style>
  <w:style w:type="paragraph" w:styleId="Commentaire">
    <w:name w:val="annotation text"/>
    <w:basedOn w:val="Normal"/>
    <w:link w:val="CommentaireCar"/>
    <w:rsid w:val="001364A5"/>
    <w:rPr>
      <w:rFonts w:ascii="Calibri" w:eastAsia="Times New Roman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364A5"/>
    <w:rPr>
      <w:rFonts w:ascii="Calibri" w:eastAsia="Times New Roman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7A6E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7A6E"/>
    <w:rPr>
      <w:rFonts w:ascii="Calibri" w:eastAsia="Times New Roman" w:hAnsi="Calibri" w:cs="Times New Roman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07A53"/>
    <w:pPr>
      <w:ind w:left="720"/>
      <w:contextualSpacing/>
    </w:pPr>
  </w:style>
  <w:style w:type="paragraph" w:styleId="Rvision">
    <w:name w:val="Revision"/>
    <w:hidden/>
    <w:uiPriority w:val="99"/>
    <w:semiHidden/>
    <w:rsid w:val="00B34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848B6-DD1E-4BD7-B466-2179EBFE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Combret Thomas</dc:creator>
  <cp:lastModifiedBy>Herbaut Laurent</cp:lastModifiedBy>
  <cp:revision>4</cp:revision>
  <cp:lastPrinted>2017-02-09T13:07:00Z</cp:lastPrinted>
  <dcterms:created xsi:type="dcterms:W3CDTF">2025-03-28T13:13:00Z</dcterms:created>
  <dcterms:modified xsi:type="dcterms:W3CDTF">2025-04-08T08:04:00Z</dcterms:modified>
</cp:coreProperties>
</file>